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ind w:hanging="0" w:left="0" w:right="-648"/>
        <w:jc w:val="center"/>
      </w:pPr>
      <w:r>
        <w:rPr>
          <w:rFonts w:ascii="Arial" w:cs="Arial" w:hAnsi="Arial"/>
          <w:b/>
          <w:bCs/>
        </w:rPr>
        <w:t>Allocation pour la diversité dans la fonction publique</w:t>
      </w:r>
    </w:p>
    <w:p>
      <w:pPr>
        <w:pStyle w:val="style23"/>
        <w:ind w:hanging="0" w:left="0" w:right="-648"/>
        <w:jc w:val="center"/>
      </w:pPr>
      <w:r>
        <w:rPr>
          <w:rFonts w:ascii="Arial" w:cs="Arial" w:hAnsi="Arial"/>
          <w:b/>
          <w:bCs/>
        </w:rPr>
        <w:t>Année 2016/2017</w:t>
      </w:r>
    </w:p>
    <w:p>
      <w:pPr>
        <w:pStyle w:val="style23"/>
        <w:ind w:hanging="0" w:left="0" w:right="-648"/>
        <w:jc w:val="center"/>
      </w:pPr>
      <w:r>
        <w:rPr/>
      </w:r>
    </w:p>
    <w:p>
      <w:pPr>
        <w:pStyle w:val="style23"/>
        <w:ind w:hanging="0" w:left="0" w:right="-648"/>
        <w:jc w:val="center"/>
      </w:pPr>
      <w:r>
        <w:rPr/>
      </w:r>
    </w:p>
    <w:p>
      <w:pPr>
        <w:pStyle w:val="style23"/>
        <w:ind w:hanging="0" w:left="0" w:right="-648"/>
      </w:pPr>
      <w:r>
        <w:rPr/>
      </w:r>
    </w:p>
    <w:p>
      <w:pPr>
        <w:pStyle w:val="style23"/>
        <w:ind w:hanging="0" w:left="0" w:right="-648"/>
        <w:jc w:val="center"/>
      </w:pPr>
      <w:r>
        <w:rPr>
          <w:rFonts w:ascii="Arial" w:cs="Arial" w:hAnsi="Arial"/>
          <w:b/>
          <w:bCs/>
          <w:sz w:val="24"/>
        </w:rPr>
        <w:t>CHARTE DE TUTORAT</w:t>
      </w:r>
    </w:p>
    <w:p>
      <w:pPr>
        <w:pStyle w:val="style23"/>
        <w:ind w:hanging="0" w:left="0" w:right="-648"/>
        <w:jc w:val="center"/>
      </w:pPr>
      <w:r>
        <w:rPr/>
      </w:r>
    </w:p>
    <w:p>
      <w:pPr>
        <w:pStyle w:val="style23"/>
        <w:ind w:hanging="0" w:left="0" w:right="-648"/>
        <w:jc w:val="center"/>
      </w:pPr>
      <w:r>
        <w:rPr/>
      </w:r>
    </w:p>
    <w:p>
      <w:pPr>
        <w:pStyle w:val="style23"/>
        <w:ind w:hanging="0" w:left="0" w:right="-648"/>
        <w:jc w:val="both"/>
      </w:pPr>
      <w:r>
        <w:rPr>
          <w:rFonts w:ascii="Arial" w:cs="Arial" w:hAnsi="Arial"/>
        </w:rPr>
        <w:t>Le dispositif des allocations pour la diversité dans la fonction publique a pour objectif de promouvoir la diversité dans la fonction publique en apportant un soutien financier aux personnes qui souhaitent préparer des concours de catégorie A et B.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>
          <w:rFonts w:ascii="Arial" w:cs="Arial" w:hAnsi="Arial"/>
        </w:rPr>
        <w:t>Cette allocation, dont le montant s’élève à 2 000 €, est attribuée :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numPr>
          <w:ilvl w:val="0"/>
          <w:numId w:val="1"/>
        </w:numPr>
        <w:ind w:hanging="0" w:left="0" w:right="-648"/>
        <w:jc w:val="both"/>
      </w:pPr>
      <w:r>
        <w:rPr>
          <w:rFonts w:ascii="Arial" w:cs="Arial" w:hAnsi="Arial"/>
        </w:rPr>
        <w:t>aux personnes sans emploi et titulaires d’un diplôme leur permettant de présenter un concours de catégorie A ou B de la fonction publique avec une attention particulière aux jeunes récemment sortis du système scolaire et universitaire.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tabs>
          <w:tab w:leader="none" w:pos="0" w:val="left"/>
          <w:tab w:leader="none" w:pos="360" w:val="left"/>
        </w:tabs>
        <w:ind w:firstLine="15" w:left="0" w:right="-648"/>
        <w:jc w:val="both"/>
      </w:pPr>
      <w:r>
        <w:rPr>
          <w:rFonts w:ascii="Arial" w:cs="Arial" w:hAnsi="Arial"/>
        </w:rPr>
        <w:t>-</w:t>
        <w:tab/>
        <w:t>aux étudiants préparant un ou plusieurs concours de la fonction publique de catégorie A ou B, notamment ceux inscrits dans les instituts de préparation à l’administration générale (IPAG) et dans les centres de préparation à l’administration générale (CPAG), ou encore ceux qui s’engagent à suivre une préparation mise en place à cet effet par des écoles de services public ou des employeurs publics.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>
          <w:rFonts w:ascii="Arial" w:cs="Arial" w:hAnsi="Arial"/>
        </w:rPr>
        <w:t>Les allocataires sont sélectionnés sur la base de critères objectifs qui sont :</w:t>
      </w:r>
    </w:p>
    <w:p>
      <w:pPr>
        <w:pStyle w:val="style23"/>
        <w:numPr>
          <w:ilvl w:val="0"/>
          <w:numId w:val="1"/>
        </w:numPr>
        <w:ind w:hanging="0" w:left="0" w:right="-648"/>
        <w:jc w:val="both"/>
      </w:pPr>
      <w:r>
        <w:rPr>
          <w:rFonts w:ascii="Arial" w:cs="Arial" w:hAnsi="Arial"/>
        </w:rPr>
        <w:t>les ressources du demandeur ou de l’ascendant qui en a la charge ;</w:t>
      </w:r>
    </w:p>
    <w:p>
      <w:pPr>
        <w:pStyle w:val="style23"/>
        <w:numPr>
          <w:ilvl w:val="0"/>
          <w:numId w:val="1"/>
        </w:numPr>
        <w:ind w:hanging="0" w:left="0" w:right="-648"/>
        <w:jc w:val="both"/>
      </w:pPr>
      <w:r>
        <w:rPr>
          <w:rFonts w:ascii="Arial" w:cs="Arial" w:hAnsi="Arial"/>
        </w:rPr>
        <w:t>la situation sociale du demandeur ou de l’ascendant dont il dépend ;</w:t>
      </w:r>
    </w:p>
    <w:p>
      <w:pPr>
        <w:pStyle w:val="style23"/>
        <w:numPr>
          <w:ilvl w:val="0"/>
          <w:numId w:val="1"/>
        </w:numPr>
        <w:ind w:hanging="0" w:left="0" w:right="-648"/>
        <w:jc w:val="both"/>
      </w:pPr>
      <w:r>
        <w:rPr>
          <w:rFonts w:ascii="Arial" w:cs="Arial" w:hAnsi="Arial"/>
        </w:rPr>
        <w:t>le mérite du candidat lié à son parcours antérieur.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>
          <w:rFonts w:ascii="Arial" w:cs="Arial" w:hAnsi="Arial"/>
        </w:rPr>
        <w:t xml:space="preserve">La présente charte a pour objet de fixer la nature de l’engagement respectif entre le tuteur et l’allocataire dans le cadre du versement de l’allocation pour la diversité. 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>
          <w:rFonts w:ascii="Arial" w:cs="Arial" w:hAnsi="Arial"/>
        </w:rPr>
        <w:t>Une vigilance particulièrement accrue doit être portée sur la neutralité de lien entre le bénéficiaire de l’allocation de la diversité et le tuteur.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>
          <w:rFonts w:ascii="Arial" w:cs="Arial" w:hAnsi="Arial"/>
          <w:b/>
          <w:bCs/>
        </w:rPr>
        <w:t>ENGAGEMENT DU TUTEUR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>
          <w:rFonts w:ascii="Arial" w:cs="Arial" w:hAnsi="Arial"/>
          <w:b/>
        </w:rPr>
        <w:t>Le tuteur s’engage :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numPr>
          <w:ilvl w:val="0"/>
          <w:numId w:val="2"/>
        </w:numPr>
        <w:ind w:hanging="0" w:left="0" w:right="-648"/>
        <w:jc w:val="both"/>
      </w:pPr>
      <w:r>
        <w:rPr>
          <w:rFonts w:ascii="Arial" w:cs="Arial" w:hAnsi="Arial"/>
        </w:rPr>
        <w:t>à être disponible pendant la durée du versement de l’allocation afin d’assurer un suivi concret de l’allocataire ;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numPr>
          <w:ilvl w:val="0"/>
          <w:numId w:val="2"/>
        </w:numPr>
        <w:ind w:hanging="0" w:left="0" w:right="-648"/>
        <w:jc w:val="both"/>
      </w:pPr>
      <w:r>
        <w:rPr>
          <w:rFonts w:ascii="Arial" w:cs="Arial" w:hAnsi="Arial"/>
        </w:rPr>
        <w:t>à définir les modalités de fonctionnement entre le tuteur et le tutoré (calendrier de rencontres, exercices de tutorat, etc…) ;</w:t>
      </w:r>
    </w:p>
    <w:p>
      <w:pPr>
        <w:pStyle w:val="style23"/>
        <w:ind w:hanging="0" w:left="360" w:right="-648"/>
        <w:jc w:val="both"/>
      </w:pPr>
      <w:r>
        <w:rPr/>
      </w:r>
    </w:p>
    <w:p>
      <w:pPr>
        <w:pStyle w:val="style23"/>
        <w:numPr>
          <w:ilvl w:val="0"/>
          <w:numId w:val="2"/>
        </w:numPr>
        <w:ind w:hanging="0" w:left="0" w:right="-648"/>
        <w:jc w:val="both"/>
      </w:pPr>
      <w:r>
        <w:rPr>
          <w:rFonts w:ascii="Arial" w:cs="Arial" w:hAnsi="Arial"/>
        </w:rPr>
        <w:t>à faire partager son expérience professionnelle, ainsi que toutes informations qu’il estimerait utiles de transmettre à l’allocataire ;</w:t>
      </w:r>
    </w:p>
    <w:p>
      <w:pPr>
        <w:pStyle w:val="style23"/>
        <w:ind w:hanging="0" w:left="360" w:right="-648"/>
        <w:jc w:val="both"/>
      </w:pPr>
      <w:r>
        <w:rPr/>
      </w:r>
    </w:p>
    <w:p>
      <w:pPr>
        <w:pStyle w:val="style23"/>
        <w:numPr>
          <w:ilvl w:val="0"/>
          <w:numId w:val="2"/>
        </w:numPr>
        <w:ind w:hanging="0" w:left="0" w:right="-648"/>
        <w:jc w:val="both"/>
      </w:pPr>
      <w:r>
        <w:rPr>
          <w:rFonts w:ascii="Arial" w:cs="Arial" w:hAnsi="Arial"/>
        </w:rPr>
        <w:t xml:space="preserve">à prodiguer des conseils méthodologiques en termes d’organisation du travail, de rédaction administrative, de connaissance de l’environnement professionnel, etc…  </w:t>
      </w:r>
      <w:r>
        <w:rPr>
          <w:rFonts w:ascii="Arial" w:cs="Arial" w:hAnsi="Arial"/>
          <w:b/>
        </w:rPr>
        <w:t>A ce titre, les compétences du tuteur doivent être en lien avec le concours préparé par le bénéficiaire de l’allocation pour la diversité</w:t>
      </w:r>
      <w:r>
        <w:rPr>
          <w:rFonts w:ascii="Arial" w:cs="Arial" w:hAnsi="Arial"/>
        </w:rPr>
        <w:t> ;</w:t>
      </w:r>
    </w:p>
    <w:p>
      <w:pPr>
        <w:pStyle w:val="style23"/>
        <w:ind w:hanging="0" w:left="360" w:right="-648"/>
        <w:jc w:val="both"/>
      </w:pPr>
      <w:r>
        <w:rPr/>
      </w:r>
    </w:p>
    <w:p>
      <w:pPr>
        <w:pStyle w:val="style23"/>
        <w:numPr>
          <w:ilvl w:val="0"/>
          <w:numId w:val="2"/>
        </w:numPr>
        <w:ind w:hanging="0" w:left="0" w:right="-648"/>
        <w:jc w:val="both"/>
      </w:pPr>
      <w:r>
        <w:rPr>
          <w:rFonts w:ascii="Arial" w:cs="Arial" w:hAnsi="Arial"/>
        </w:rPr>
        <w:t>à participer à une formation au tutorat, sous réserve de l’accord de son employeur ;</w:t>
      </w:r>
    </w:p>
    <w:p>
      <w:pPr>
        <w:pStyle w:val="style23"/>
        <w:ind w:hanging="0" w:left="720" w:right="-648"/>
        <w:jc w:val="both"/>
      </w:pPr>
      <w:r>
        <w:rPr/>
      </w:r>
    </w:p>
    <w:p>
      <w:pPr>
        <w:pStyle w:val="style23"/>
        <w:numPr>
          <w:ilvl w:val="0"/>
          <w:numId w:val="2"/>
        </w:numPr>
        <w:ind w:hanging="0" w:left="0" w:right="-648"/>
        <w:jc w:val="both"/>
      </w:pPr>
      <w:r>
        <w:rPr>
          <w:rFonts w:ascii="Arial" w:cs="Arial" w:hAnsi="Arial"/>
        </w:rPr>
        <w:t>à attester de l’engagement du bénéficiaire dans sa préparation au concours considéré, et signaler toute difficulté rencontrée.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>
          <w:rFonts w:ascii="Arial" w:cs="Arial" w:hAnsi="Arial"/>
          <w:b/>
        </w:rPr>
        <w:t>ENGAGEMENT DU BÉNÉFICIAIRE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23"/>
        <w:ind w:hanging="0" w:left="0" w:right="-648"/>
        <w:jc w:val="both"/>
      </w:pPr>
      <w:r>
        <w:rPr>
          <w:rFonts w:ascii="Arial" w:cs="Arial" w:hAnsi="Arial"/>
          <w:b/>
        </w:rPr>
        <w:t>Le bénéficiaire s’engage à :</w:t>
      </w:r>
    </w:p>
    <w:p>
      <w:pPr>
        <w:pStyle w:val="style23"/>
        <w:ind w:hanging="0" w:left="0" w:right="-648"/>
        <w:jc w:val="both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720" w:val="left"/>
          <w:tab w:leader="none" w:pos="1428" w:val="left"/>
        </w:tabs>
        <w:ind w:hanging="675" w:left="720" w:right="0"/>
        <w:jc w:val="both"/>
      </w:pPr>
      <w:r>
        <w:rPr>
          <w:rFonts w:ascii="Arial" w:cs="Arial" w:hAnsi="Arial"/>
          <w:sz w:val="20"/>
        </w:rPr>
        <w:t xml:space="preserve">participer activement et </w:t>
      </w:r>
      <w:r>
        <w:rPr>
          <w:rFonts w:ascii="Arial" w:cs="Arial" w:hAnsi="Arial"/>
          <w:b/>
          <w:sz w:val="20"/>
        </w:rPr>
        <w:t xml:space="preserve">assidûment </w:t>
      </w:r>
      <w:r>
        <w:rPr>
          <w:rFonts w:ascii="Arial" w:cs="Arial" w:hAnsi="Arial"/>
          <w:sz w:val="20"/>
        </w:rPr>
        <w:t>aux exercices de tutorat proposé par le tuteur ;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numPr>
          <w:ilvl w:val="0"/>
          <w:numId w:val="3"/>
        </w:numPr>
        <w:ind w:hanging="0" w:left="0" w:right="-648"/>
        <w:jc w:val="both"/>
      </w:pPr>
      <w:r>
        <w:rPr>
          <w:rFonts w:ascii="Arial" w:cs="Arial" w:hAnsi="Arial"/>
          <w:sz w:val="20"/>
        </w:rPr>
        <w:t>respecter le calendrier de réunions établi en accord avec le tuteur dès la mise en place du tutorat ;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numPr>
          <w:ilvl w:val="0"/>
          <w:numId w:val="3"/>
        </w:numPr>
        <w:ind w:hanging="0" w:left="0" w:right="-648"/>
        <w:jc w:val="both"/>
      </w:pPr>
      <w:r>
        <w:rPr>
          <w:rFonts w:ascii="Arial" w:cs="Arial" w:hAnsi="Arial"/>
          <w:sz w:val="20"/>
        </w:rPr>
        <w:t>à défaut, signaler à son tuteur toute réunion ou rendez-vous qu’il ne pourrait honorer ;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numPr>
          <w:ilvl w:val="0"/>
          <w:numId w:val="3"/>
        </w:numPr>
        <w:ind w:hanging="0" w:left="0" w:right="-648"/>
        <w:jc w:val="both"/>
      </w:pPr>
      <w:r>
        <w:rPr>
          <w:rFonts w:ascii="Arial" w:cs="Arial" w:hAnsi="Arial"/>
          <w:sz w:val="20"/>
        </w:rPr>
        <w:t xml:space="preserve">se présenter, à l’issue de l’année de préparation, aux épreuves d’admissibilité du ou des concours pour lesquels l’aide de l’Etat lui est accordée ; </w:t>
      </w:r>
    </w:p>
    <w:p>
      <w:pPr>
        <w:pStyle w:val="style0"/>
        <w:ind w:hanging="0" w:left="360" w:right="-648"/>
        <w:jc w:val="both"/>
      </w:pPr>
      <w:r>
        <w:rPr/>
      </w:r>
    </w:p>
    <w:p>
      <w:pPr>
        <w:pStyle w:val="style0"/>
        <w:numPr>
          <w:ilvl w:val="0"/>
          <w:numId w:val="3"/>
        </w:numPr>
        <w:ind w:hanging="0" w:left="0" w:right="-648"/>
        <w:jc w:val="both"/>
      </w:pPr>
      <w:r>
        <w:rPr>
          <w:rFonts w:ascii="Arial" w:cs="Arial" w:hAnsi="Arial"/>
          <w:sz w:val="20"/>
        </w:rPr>
        <w:t xml:space="preserve">à signaler tout changement d’adresse pendant l’année au cours de laquelle il bénéficie de l’allocation, ainsi que dans les mois suivants, afin de permettre le suivi de ses résultats aux concours ; </w:t>
      </w:r>
    </w:p>
    <w:p>
      <w:pPr>
        <w:pStyle w:val="style0"/>
        <w:ind w:hanging="0" w:left="360" w:right="-648"/>
        <w:jc w:val="both"/>
      </w:pPr>
      <w:r>
        <w:rPr/>
      </w:r>
    </w:p>
    <w:p>
      <w:pPr>
        <w:pStyle w:val="style0"/>
        <w:numPr>
          <w:ilvl w:val="0"/>
          <w:numId w:val="3"/>
        </w:numPr>
        <w:ind w:hanging="0" w:left="0" w:right="-648"/>
        <w:jc w:val="both"/>
      </w:pPr>
      <w:r>
        <w:rPr>
          <w:rFonts w:ascii="Arial" w:cs="Arial" w:hAnsi="Arial"/>
          <w:sz w:val="20"/>
        </w:rPr>
        <w:t xml:space="preserve">à communiquer les résultats de ses épreuves dès qu’il en a connaissance. </w:t>
      </w:r>
    </w:p>
    <w:p>
      <w:pPr>
        <w:pStyle w:val="style0"/>
        <w:ind w:hanging="0" w:left="0" w:right="-648"/>
        <w:jc w:val="both"/>
      </w:pPr>
      <w:r>
        <w:rPr/>
      </w:r>
    </w:p>
    <w:p>
      <w:pPr>
        <w:pStyle w:val="style0"/>
        <w:ind w:hanging="0" w:left="0" w:right="-648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0"/>
        </w:rPr>
        <w:t xml:space="preserve">Fait à …., le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0"/>
        </w:rPr>
        <w:t xml:space="preserve">Le tuteur : </w:t>
        <w:tab/>
        <w:tab/>
        <w:tab/>
        <w:tab/>
        <w:tab/>
        <w:tab/>
        <w:tab/>
        <w:tab/>
        <w:tab/>
        <w:tab/>
        <w:t>L’allocataire</w:t>
      </w:r>
    </w:p>
    <w:p>
      <w:pPr>
        <w:pStyle w:val="style0"/>
        <w:jc w:val="both"/>
      </w:pPr>
      <w:r>
        <w:rPr>
          <w:rFonts w:ascii="Arial" w:cs="Arial" w:hAnsi="Arial"/>
          <w:sz w:val="20"/>
        </w:rPr>
        <w:t>Nom – Prénom</w:t>
      </w:r>
    </w:p>
    <w:p>
      <w:pPr>
        <w:pStyle w:val="style0"/>
        <w:jc w:val="both"/>
      </w:pPr>
      <w:r>
        <w:rPr>
          <w:rFonts w:ascii="Arial" w:cs="Arial" w:hAnsi="Arial"/>
          <w:sz w:val="20"/>
        </w:rPr>
        <w:t xml:space="preserve">Qualité : </w:t>
        <w:tab/>
        <w:tab/>
        <w:tab/>
        <w:tab/>
        <w:tab/>
        <w:tab/>
        <w:tab/>
        <w:tab/>
        <w:tab/>
      </w:r>
    </w:p>
    <w:p>
      <w:pPr>
        <w:pStyle w:val="style0"/>
        <w:jc w:val="both"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709" w:left="1418" w:right="1418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80"/>
    <w:family w:val="swiss"/>
    <w:pitch w:val="default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  <w:tab/>
      <w:tab/>
    </w:r>
    <w:r>
      <w:rPr>
        <w:b/>
        <w:i/>
      </w:rPr>
      <w:t>PJ  n °2</w:t>
      <w:tab/>
      <w:tab/>
      <w:tab/>
      <w:tab/>
      <w:tab/>
      <w:tab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Times New Roman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ListLabel 3"/>
    <w:next w:val="style18"/>
    <w:rPr>
      <w:rFonts w:cs="Times New Roman"/>
    </w:rPr>
  </w:style>
  <w:style w:styleId="style19" w:type="character">
    <w:name w:val="ListLabel 4"/>
    <w:next w:val="style19"/>
    <w:rPr>
      <w:rFonts w:cs="Courier New"/>
    </w:rPr>
  </w:style>
  <w:style w:styleId="style20" w:type="character">
    <w:name w:val="ListLabel 5"/>
    <w:next w:val="style20"/>
    <w:rPr>
      <w:rFonts w:cs="Wingdings"/>
    </w:rPr>
  </w:style>
  <w:style w:styleId="style21" w:type="character">
    <w:name w:val="ListLabel 6"/>
    <w:next w:val="style21"/>
    <w:rPr>
      <w:rFonts w:cs="Symbol"/>
    </w:rPr>
  </w:style>
  <w:style w:styleId="style22" w:type="paragraph">
    <w:name w:val="Titre"/>
    <w:basedOn w:val="style0"/>
    <w:next w:val="style23"/>
    <w:pPr>
      <w:keepNext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styleId="style23" w:type="paragraph">
    <w:name w:val="Corps de texte"/>
    <w:basedOn w:val="style0"/>
    <w:next w:val="style23"/>
    <w:pPr>
      <w:spacing w:after="120" w:before="0"/>
    </w:pPr>
    <w:rPr>
      <w:sz w:val="20"/>
    </w:rPr>
  </w:style>
  <w:style w:styleId="style24" w:type="paragraph">
    <w:name w:val="Liste"/>
    <w:basedOn w:val="style23"/>
    <w:next w:val="style24"/>
    <w:pPr/>
    <w:rPr>
      <w:rFonts w:ascii="Liberation Sans" w:cs="Mangal" w:hAnsi="Liberation Sans"/>
    </w:rPr>
  </w:style>
  <w:style w:styleId="style25" w:type="paragraph">
    <w:name w:val="Légende"/>
    <w:basedOn w:val="style0"/>
    <w:next w:val="style25"/>
    <w:pPr>
      <w:suppressLineNumbers/>
      <w:spacing w:after="120" w:before="120"/>
    </w:pPr>
    <w:rPr>
      <w:rFonts w:ascii="Liberation Sans" w:cs="Mangal" w:hAnsi="Liberation Sans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ascii="Liberation Sans" w:cs="Mangal" w:hAnsi="Liberation Sans"/>
    </w:rPr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  <w:style w:styleId="style28" w:type="paragraph">
    <w:name w:val="En-tête"/>
    <w:basedOn w:val="style0"/>
    <w:next w:val="style28"/>
    <w:pPr>
      <w:suppressLineNumbers/>
      <w:tabs>
        <w:tab w:leader="none" w:pos="4536" w:val="center"/>
        <w:tab w:leader="none" w:pos="9072" w:val="right"/>
      </w:tabs>
    </w:pPr>
    <w:rPr/>
  </w:style>
  <w:style w:styleId="style29" w:type="paragraph">
    <w:name w:val="Pied de page"/>
    <w:basedOn w:val="style0"/>
    <w:next w:val="style29"/>
    <w:pPr>
      <w:suppressLineNumbers/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2016-08-12T10:05:00.00Z</dcterms:created>
  <dc:creator>KINNEL Carole</dc:creator>
  <cp:lastModifiedBy>Violette BOUTIN</cp:lastModifiedBy>
  <cp:lastPrinted>2015-06-17T12:00:00.00Z</cp:lastPrinted>
  <dcterms:modified xsi:type="dcterms:W3CDTF">2016-08-12T10:05:00.00Z</dcterms:modified>
  <cp:revision>2</cp:revision>
</cp:coreProperties>
</file>